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> </w:t>
      </w:r>
      <w:r>
        <w:rPr>
          <w:rFonts w:ascii="Times New Roman" w:hAnsi="Times New Roman"/>
          <w:b w:val="1"/>
          <w:color w:val="000000"/>
          <w:sz w:val="28"/>
          <w:u w:val="none"/>
        </w:rPr>
        <w:t>Прокуратура г. Электростали Московской области разъясняет: «</w:t>
      </w:r>
      <w:r>
        <w:rPr>
          <w:rFonts w:ascii="Times New Roman" w:hAnsi="Times New Roman"/>
          <w:b w:val="1"/>
          <w:color w:val="000000"/>
          <w:sz w:val="28"/>
          <w:u w:val="none"/>
        </w:rPr>
        <w:t>Установлен единый срок выплаты пособий и компенсаций, полагающихся в связи с гибелью военнослужащего или увольнением со службы вследствие военной травмы»</w:t>
      </w:r>
    </w:p>
    <w:p w14:paraId="02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Указанный срок закреплен Федеральным законом от 31.07.2025 № 317-ФЗ «О внесении изменений в отдельные законодательные акты Российской Федерации».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Выплата пособий должна осуществляться в срок до 30 дней со дня получения документов, необходимых для принятия соответствующего решения. При рассмотрении в судебном порядке спора, в котором устанавливаются члены семьи, имеющие право на получение единовременного пособия, срок исчисляется со дня получения должностными лицами решения суда и документов, необходимых для принятия решения.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Также для целей выплаты пособий вводится судебный порядок установления факта совместного проживания и ведения общего хозяйства с погибшим (умершим) лицом. При этом меры социальной поддержки могут быть предоставлены при соблюдении ряда условий, в том числе совместного проживания не менее трех лет и при наличии общего несовершеннолетнего ребенка.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2025-11-21T08:21:59Z</dcterms:modified>
</cp:coreProperties>
</file>